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9CA4" w14:textId="20722F42" w:rsidR="004B2628" w:rsidRPr="004B2628" w:rsidRDefault="004B2628" w:rsidP="004B2628">
      <w:pPr>
        <w:rPr>
          <w:rFonts w:ascii="Arial Narrow" w:hAnsi="Arial Narrow"/>
          <w:b/>
          <w:bCs/>
          <w:sz w:val="24"/>
          <w:szCs w:val="24"/>
        </w:rPr>
      </w:pPr>
      <w:r w:rsidRPr="004B2628">
        <w:rPr>
          <w:rFonts w:ascii="Arial Narrow" w:hAnsi="Arial Narrow"/>
          <w:b/>
          <w:bCs/>
          <w:sz w:val="24"/>
          <w:szCs w:val="24"/>
        </w:rPr>
        <w:t xml:space="preserve">INFORME DETALLADO SOBRE EL COMERCIO MINORISTA EN PALMA Y LA PART </w:t>
      </w:r>
      <w:r w:rsidRPr="004B2628">
        <w:rPr>
          <w:rFonts w:ascii="Arial Narrow" w:hAnsi="Arial Narrow"/>
          <w:b/>
          <w:bCs/>
          <w:sz w:val="24"/>
          <w:szCs w:val="24"/>
        </w:rPr>
        <w:t>FORANA</w:t>
      </w:r>
      <w:r>
        <w:rPr>
          <w:rFonts w:ascii="Arial Narrow" w:hAnsi="Arial Narrow"/>
          <w:b/>
          <w:bCs/>
          <w:sz w:val="24"/>
          <w:szCs w:val="24"/>
        </w:rPr>
        <w:t>. -</w:t>
      </w:r>
    </w:p>
    <w:p w14:paraId="0176F8FA" w14:textId="0779DACD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1. </w:t>
      </w:r>
      <w:r w:rsidRPr="004B2628">
        <w:rPr>
          <w:rFonts w:ascii="Arial Narrow" w:hAnsi="Arial Narrow"/>
          <w:sz w:val="24"/>
          <w:szCs w:val="24"/>
        </w:rPr>
        <w:t>Introducción. -</w:t>
      </w:r>
    </w:p>
    <w:p w14:paraId="4C3A478A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El comercio minorista en Palma de Mallorca y la </w:t>
      </w:r>
      <w:proofErr w:type="spellStart"/>
      <w:r w:rsidRPr="004B2628">
        <w:rPr>
          <w:rFonts w:ascii="Arial Narrow" w:hAnsi="Arial Narrow"/>
          <w:sz w:val="24"/>
          <w:szCs w:val="24"/>
        </w:rPr>
        <w:t>Part</w:t>
      </w:r>
      <w:proofErr w:type="spellEnd"/>
      <w:r w:rsidRPr="004B2628">
        <w:rPr>
          <w:rFonts w:ascii="Arial Narrow" w:hAnsi="Arial Narrow"/>
          <w:sz w:val="24"/>
          <w:szCs w:val="24"/>
        </w:rPr>
        <w:t xml:space="preserve"> Forana ha experimentado transformaciones significativas en los últimos años. Este informe analiza la evolución del sector, su distribución geográfica, el empleo generado y las tendencias recientes, con datos comparativos históricos y referencias a la situación económica general.</w:t>
      </w:r>
    </w:p>
    <w:p w14:paraId="72D7663A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2. Evolución del comercio minorista en Palma</w:t>
      </w:r>
    </w:p>
    <w:p w14:paraId="4C79B65B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Según datos de la Fundación Impulsa y estudios sectoriales:</w:t>
      </w:r>
    </w:p>
    <w:p w14:paraId="7455A17D" w14:textId="64EA96CB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En </w:t>
      </w:r>
      <w:r w:rsidRPr="004B2628">
        <w:rPr>
          <w:rFonts w:ascii="Arial Narrow" w:hAnsi="Arial Narrow"/>
          <w:sz w:val="24"/>
          <w:szCs w:val="24"/>
        </w:rPr>
        <w:t>2018, el</w:t>
      </w:r>
      <w:r w:rsidRPr="004B2628">
        <w:rPr>
          <w:rFonts w:ascii="Arial Narrow" w:hAnsi="Arial Narrow"/>
          <w:sz w:val="24"/>
          <w:szCs w:val="24"/>
        </w:rPr>
        <w:t xml:space="preserve"> número de comercios minoristas en Palma ascendía a 4.981</w:t>
      </w:r>
    </w:p>
    <w:p w14:paraId="14212FD9" w14:textId="7DFB11DB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En </w:t>
      </w:r>
      <w:r w:rsidRPr="004B2628">
        <w:rPr>
          <w:rFonts w:ascii="Arial Narrow" w:hAnsi="Arial Narrow"/>
          <w:sz w:val="24"/>
          <w:szCs w:val="24"/>
        </w:rPr>
        <w:t>2025, esta</w:t>
      </w:r>
      <w:r w:rsidRPr="004B2628">
        <w:rPr>
          <w:rFonts w:ascii="Arial Narrow" w:hAnsi="Arial Narrow"/>
          <w:sz w:val="24"/>
          <w:szCs w:val="24"/>
        </w:rPr>
        <w:t xml:space="preserve"> cifra ha descendido a 4.335</w:t>
      </w:r>
      <w:r w:rsidRPr="004B2628">
        <w:rPr>
          <w:rFonts w:ascii="Arial Narrow" w:hAnsi="Arial Narrow"/>
          <w:sz w:val="24"/>
          <w:szCs w:val="24"/>
        </w:rPr>
        <w:t>, lo</w:t>
      </w:r>
      <w:r w:rsidRPr="004B2628">
        <w:rPr>
          <w:rFonts w:ascii="Arial Narrow" w:hAnsi="Arial Narrow"/>
          <w:sz w:val="24"/>
          <w:szCs w:val="24"/>
        </w:rPr>
        <w:t xml:space="preserve"> que representa una pérdida del 13% en cinco años.</w:t>
      </w:r>
    </w:p>
    <w:p w14:paraId="58355FFD" w14:textId="70E591E1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Desde </w:t>
      </w:r>
      <w:r w:rsidRPr="004B2628">
        <w:rPr>
          <w:rFonts w:ascii="Arial Narrow" w:hAnsi="Arial Narrow"/>
          <w:sz w:val="24"/>
          <w:szCs w:val="24"/>
        </w:rPr>
        <w:t>2008, el</w:t>
      </w:r>
      <w:r w:rsidRPr="004B2628">
        <w:rPr>
          <w:rFonts w:ascii="Arial Narrow" w:hAnsi="Arial Narrow"/>
          <w:sz w:val="24"/>
          <w:szCs w:val="24"/>
        </w:rPr>
        <w:t xml:space="preserve"> número total de comercios ha caído en un 30%, evidenciando una contracción progresiva del sector.</w:t>
      </w:r>
    </w:p>
    <w:p w14:paraId="12B043AE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Esta disminución puede atribuirse a diversos factores:</w:t>
      </w:r>
    </w:p>
    <w:p w14:paraId="0F212ABA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El </w:t>
      </w:r>
      <w:r w:rsidRPr="004B2628">
        <w:rPr>
          <w:rFonts w:ascii="Arial Narrow" w:hAnsi="Arial Narrow"/>
          <w:b/>
          <w:bCs/>
          <w:sz w:val="24"/>
          <w:szCs w:val="24"/>
        </w:rPr>
        <w:t>auge del comercio electrónico</w:t>
      </w:r>
      <w:r w:rsidRPr="004B2628">
        <w:rPr>
          <w:rFonts w:ascii="Arial Narrow" w:hAnsi="Arial Narrow"/>
          <w:sz w:val="24"/>
          <w:szCs w:val="24"/>
        </w:rPr>
        <w:t xml:space="preserve"> y la competencia con grandes superficies.</w:t>
      </w:r>
    </w:p>
    <w:p w14:paraId="0670E41C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La escalada en el **</w:t>
      </w:r>
      <w:r w:rsidRPr="004B2628">
        <w:rPr>
          <w:rFonts w:ascii="Arial Narrow" w:hAnsi="Arial Narrow"/>
          <w:b/>
          <w:bCs/>
          <w:sz w:val="24"/>
          <w:szCs w:val="24"/>
        </w:rPr>
        <w:t>precio de los alquileres comerciales</w:t>
      </w:r>
      <w:r w:rsidRPr="004B2628">
        <w:rPr>
          <w:rFonts w:ascii="Arial Narrow" w:hAnsi="Arial Narrow"/>
          <w:sz w:val="24"/>
          <w:szCs w:val="24"/>
        </w:rPr>
        <w:t>, que ha limitado la viabilidad de muchos negocios.</w:t>
      </w:r>
    </w:p>
    <w:p w14:paraId="33EBC50A" w14:textId="23E9020F" w:rsid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b/>
          <w:bCs/>
          <w:sz w:val="24"/>
          <w:szCs w:val="24"/>
        </w:rPr>
        <w:t>Cambios en los *hábitos de consumo*,</w:t>
      </w:r>
      <w:r w:rsidRPr="004B2628">
        <w:rPr>
          <w:rFonts w:ascii="Arial Narrow" w:hAnsi="Arial Narrow"/>
          <w:sz w:val="24"/>
          <w:szCs w:val="24"/>
        </w:rPr>
        <w:t xml:space="preserve"> con una mayor orientación hacia compras digitales y cadenas de franquicias.</w:t>
      </w:r>
    </w:p>
    <w:p w14:paraId="62749E0A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</w:p>
    <w:p w14:paraId="76F2D351" w14:textId="57C82205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2.1. Distribución geográfica en </w:t>
      </w:r>
      <w:r w:rsidRPr="004B2628">
        <w:rPr>
          <w:rFonts w:ascii="Arial Narrow" w:hAnsi="Arial Narrow"/>
          <w:sz w:val="24"/>
          <w:szCs w:val="24"/>
        </w:rPr>
        <w:t>Palma. -</w:t>
      </w:r>
      <w:r w:rsidRPr="004B2628">
        <w:rPr>
          <w:rFonts w:ascii="Arial Narrow" w:hAnsi="Arial Narrow"/>
          <w:sz w:val="24"/>
          <w:szCs w:val="24"/>
        </w:rPr>
        <w:t xml:space="preserve"> </w:t>
      </w:r>
    </w:p>
    <w:p w14:paraId="5CA1BD97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Los 4.335 comercios minoristas se reparten de la siguiente manera:</w:t>
      </w:r>
    </w:p>
    <w:p w14:paraId="43F32ABD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Centro de Palma: 1.126 comercios (26%).</w:t>
      </w:r>
    </w:p>
    <w:p w14:paraId="62BB692D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Barrios y distritos: 3.209 comercios (74%).</w:t>
      </w:r>
    </w:p>
    <w:p w14:paraId="4ABEDF5B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Esto refleja una mayor presencia comercial fuera del centro histórico, lo que sugiere:</w:t>
      </w:r>
    </w:p>
    <w:p w14:paraId="178B7124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 La adaptación del comercio a zonas residenciales.</w:t>
      </w:r>
    </w:p>
    <w:p w14:paraId="5B8025B4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Un menor peso del turismo en el sostenimiento de los negocios.</w:t>
      </w:r>
    </w:p>
    <w:p w14:paraId="5E3349FF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</w:p>
    <w:p w14:paraId="70AAB325" w14:textId="5AE55AC8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2.2. Empleo en el comercio de </w:t>
      </w:r>
      <w:r w:rsidRPr="004B2628">
        <w:rPr>
          <w:rFonts w:ascii="Arial Narrow" w:hAnsi="Arial Narrow"/>
          <w:sz w:val="24"/>
          <w:szCs w:val="24"/>
        </w:rPr>
        <w:t>Palma. -</w:t>
      </w:r>
    </w:p>
    <w:p w14:paraId="5FA787C7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Actualmente, el comercio tradicional genera 14.654 empleos, distribuidos en:</w:t>
      </w:r>
    </w:p>
    <w:p w14:paraId="3910C884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lastRenderedPageBreak/>
        <w:t>Centro de Palma: 3.238 empleos (22%).</w:t>
      </w:r>
    </w:p>
    <w:p w14:paraId="37566734" w14:textId="2BD8A2FE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Barrios y distritos: 11.416 empleos (78%).</w:t>
      </w:r>
    </w:p>
    <w:p w14:paraId="08C20E4F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Estos datos muestran que el empleo se concentra en zonas periurbanas, consolidando un modelo descentralizado de actividad comercial.</w:t>
      </w:r>
    </w:p>
    <w:p w14:paraId="17ABAD11" w14:textId="77777777" w:rsidR="004B2628" w:rsidRPr="004B2628" w:rsidRDefault="004B2628" w:rsidP="004B2628">
      <w:pPr>
        <w:rPr>
          <w:rFonts w:ascii="Arial Narrow" w:hAnsi="Arial Narrow"/>
          <w:b/>
          <w:bCs/>
          <w:sz w:val="24"/>
          <w:szCs w:val="24"/>
        </w:rPr>
      </w:pPr>
      <w:r w:rsidRPr="004B2628">
        <w:rPr>
          <w:rFonts w:ascii="Arial Narrow" w:hAnsi="Arial Narrow"/>
          <w:b/>
          <w:bCs/>
          <w:sz w:val="24"/>
          <w:szCs w:val="24"/>
        </w:rPr>
        <w:t xml:space="preserve">2.3. Actividades comerciales en </w:t>
      </w:r>
      <w:proofErr w:type="gramStart"/>
      <w:r w:rsidRPr="004B2628">
        <w:rPr>
          <w:rFonts w:ascii="Arial Narrow" w:hAnsi="Arial Narrow"/>
          <w:b/>
          <w:bCs/>
          <w:sz w:val="24"/>
          <w:szCs w:val="24"/>
        </w:rPr>
        <w:t>Palma.-</w:t>
      </w:r>
      <w:proofErr w:type="gramEnd"/>
    </w:p>
    <w:p w14:paraId="301B19C7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La composición del comercio en la ciudad es diversa. Los sectores principales por número de establecimientos son:</w:t>
      </w:r>
    </w:p>
    <w:p w14:paraId="1AB8AE67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Alimentación: 837 establecimientos (19%).</w:t>
      </w:r>
    </w:p>
    <w:p w14:paraId="3A07675B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Moda y calzado: 687 establecimientos (16%).</w:t>
      </w:r>
    </w:p>
    <w:p w14:paraId="4914E1E7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Artículos de uso doméstico: 686 establecimientos (16%).</w:t>
      </w:r>
    </w:p>
    <w:p w14:paraId="330C5735" w14:textId="30F1B92D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Otros comercios: 689 establecimientos (16%).</w:t>
      </w:r>
    </w:p>
    <w:p w14:paraId="7B7A62DE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Esta distribución sugiere que el comercio de proximidad sigue teniendo un papel fundamental en el suministro de bienes básicos.</w:t>
      </w:r>
    </w:p>
    <w:p w14:paraId="212FDDF4" w14:textId="30022887" w:rsidR="004B2628" w:rsidRPr="004B2628" w:rsidRDefault="004B2628" w:rsidP="004B2628">
      <w:pPr>
        <w:rPr>
          <w:rFonts w:ascii="Arial Narrow" w:hAnsi="Arial Narrow"/>
          <w:b/>
          <w:bCs/>
          <w:sz w:val="24"/>
          <w:szCs w:val="24"/>
        </w:rPr>
      </w:pPr>
      <w:r w:rsidRPr="004B2628">
        <w:rPr>
          <w:rFonts w:ascii="Arial Narrow" w:hAnsi="Arial Narrow"/>
          <w:b/>
          <w:bCs/>
          <w:sz w:val="24"/>
          <w:szCs w:val="24"/>
        </w:rPr>
        <w:t xml:space="preserve"> 3. El comercio en la </w:t>
      </w:r>
      <w:proofErr w:type="spellStart"/>
      <w:r w:rsidRPr="004B2628">
        <w:rPr>
          <w:rFonts w:ascii="Arial Narrow" w:hAnsi="Arial Narrow"/>
          <w:b/>
          <w:bCs/>
          <w:sz w:val="24"/>
          <w:szCs w:val="24"/>
        </w:rPr>
        <w:t>Part</w:t>
      </w:r>
      <w:proofErr w:type="spellEnd"/>
      <w:r w:rsidRPr="004B2628">
        <w:rPr>
          <w:rFonts w:ascii="Arial Narrow" w:hAnsi="Arial Narrow"/>
          <w:b/>
          <w:bCs/>
          <w:sz w:val="24"/>
          <w:szCs w:val="24"/>
        </w:rPr>
        <w:t xml:space="preserve"> </w:t>
      </w:r>
      <w:r w:rsidRPr="004B2628">
        <w:rPr>
          <w:rFonts w:ascii="Arial Narrow" w:hAnsi="Arial Narrow"/>
          <w:b/>
          <w:bCs/>
          <w:sz w:val="24"/>
          <w:szCs w:val="24"/>
        </w:rPr>
        <w:t>Forana</w:t>
      </w:r>
      <w:r>
        <w:rPr>
          <w:rFonts w:ascii="Arial Narrow" w:hAnsi="Arial Narrow"/>
          <w:b/>
          <w:bCs/>
          <w:sz w:val="24"/>
          <w:szCs w:val="24"/>
        </w:rPr>
        <w:t>. -</w:t>
      </w:r>
    </w:p>
    <w:p w14:paraId="174D6139" w14:textId="5DD99803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La </w:t>
      </w:r>
      <w:proofErr w:type="spellStart"/>
      <w:r w:rsidRPr="004B2628">
        <w:rPr>
          <w:rFonts w:ascii="Arial Narrow" w:hAnsi="Arial Narrow"/>
          <w:sz w:val="24"/>
          <w:szCs w:val="24"/>
        </w:rPr>
        <w:t>Part</w:t>
      </w:r>
      <w:proofErr w:type="spellEnd"/>
      <w:r w:rsidRPr="004B2628">
        <w:rPr>
          <w:rFonts w:ascii="Arial Narrow" w:hAnsi="Arial Narrow"/>
          <w:sz w:val="24"/>
          <w:szCs w:val="24"/>
        </w:rPr>
        <w:t xml:space="preserve"> Forana, que agrupa los municipios fuera de Palma, cuenta con *5.158 comercios minoristas tradicionales*, distribuidos entre:</w:t>
      </w:r>
    </w:p>
    <w:p w14:paraId="0E978D52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Es Pla**: 575 comercios (11%).</w:t>
      </w:r>
    </w:p>
    <w:p w14:paraId="67152C72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Serra de </w:t>
      </w:r>
      <w:proofErr w:type="spellStart"/>
      <w:r w:rsidRPr="004B2628">
        <w:rPr>
          <w:rFonts w:ascii="Arial Narrow" w:hAnsi="Arial Narrow"/>
          <w:sz w:val="24"/>
          <w:szCs w:val="24"/>
        </w:rPr>
        <w:t>Tramuntana</w:t>
      </w:r>
      <w:proofErr w:type="spellEnd"/>
      <w:r w:rsidRPr="004B2628">
        <w:rPr>
          <w:rFonts w:ascii="Arial Narrow" w:hAnsi="Arial Narrow"/>
          <w:sz w:val="24"/>
          <w:szCs w:val="24"/>
        </w:rPr>
        <w:t>: 1.361 comercios (26%).</w:t>
      </w:r>
    </w:p>
    <w:p w14:paraId="32571151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Es </w:t>
      </w:r>
      <w:proofErr w:type="spellStart"/>
      <w:r w:rsidRPr="004B2628">
        <w:rPr>
          <w:rFonts w:ascii="Arial Narrow" w:hAnsi="Arial Narrow"/>
          <w:sz w:val="24"/>
          <w:szCs w:val="24"/>
        </w:rPr>
        <w:t>Raiguer</w:t>
      </w:r>
      <w:proofErr w:type="spellEnd"/>
      <w:r w:rsidRPr="004B2628">
        <w:rPr>
          <w:rFonts w:ascii="Arial Narrow" w:hAnsi="Arial Narrow"/>
          <w:sz w:val="24"/>
          <w:szCs w:val="24"/>
        </w:rPr>
        <w:t>: 1.212 comercios (24%).</w:t>
      </w:r>
    </w:p>
    <w:p w14:paraId="51402C96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Es Migjorn: 909 comercios (18%).</w:t>
      </w:r>
    </w:p>
    <w:p w14:paraId="25FB605E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Llevant:1.101 comercios (21%).</w:t>
      </w:r>
    </w:p>
    <w:p w14:paraId="37ACC2E0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3.1. Empleo en la </w:t>
      </w:r>
      <w:proofErr w:type="spellStart"/>
      <w:r w:rsidRPr="004B2628">
        <w:rPr>
          <w:rFonts w:ascii="Arial Narrow" w:hAnsi="Arial Narrow"/>
          <w:sz w:val="24"/>
          <w:szCs w:val="24"/>
        </w:rPr>
        <w:t>Part</w:t>
      </w:r>
      <w:proofErr w:type="spellEnd"/>
      <w:r w:rsidRPr="004B2628">
        <w:rPr>
          <w:rFonts w:ascii="Arial Narrow" w:hAnsi="Arial Narrow"/>
          <w:sz w:val="24"/>
          <w:szCs w:val="24"/>
        </w:rPr>
        <w:t xml:space="preserve"> Forana</w:t>
      </w:r>
    </w:p>
    <w:p w14:paraId="79BCE536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El comercio genera *13.527 empleos*, distribuidos en:</w:t>
      </w:r>
    </w:p>
    <w:p w14:paraId="5EB240A7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Es </w:t>
      </w:r>
      <w:proofErr w:type="spellStart"/>
      <w:r w:rsidRPr="004B2628">
        <w:rPr>
          <w:rFonts w:ascii="Arial Narrow" w:hAnsi="Arial Narrow"/>
          <w:sz w:val="24"/>
          <w:szCs w:val="24"/>
        </w:rPr>
        <w:t>Raiguer</w:t>
      </w:r>
      <w:proofErr w:type="spellEnd"/>
      <w:r w:rsidRPr="004B2628">
        <w:rPr>
          <w:rFonts w:ascii="Arial Narrow" w:hAnsi="Arial Narrow"/>
          <w:sz w:val="24"/>
          <w:szCs w:val="24"/>
        </w:rPr>
        <w:t>: 3.951 empleados.</w:t>
      </w:r>
    </w:p>
    <w:p w14:paraId="77672034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Serra de </w:t>
      </w:r>
      <w:proofErr w:type="spellStart"/>
      <w:r w:rsidRPr="004B2628">
        <w:rPr>
          <w:rFonts w:ascii="Arial Narrow" w:hAnsi="Arial Narrow"/>
          <w:sz w:val="24"/>
          <w:szCs w:val="24"/>
        </w:rPr>
        <w:t>Tramuntana</w:t>
      </w:r>
      <w:proofErr w:type="spellEnd"/>
      <w:r w:rsidRPr="004B2628">
        <w:rPr>
          <w:rFonts w:ascii="Arial Narrow" w:hAnsi="Arial Narrow"/>
          <w:sz w:val="24"/>
          <w:szCs w:val="24"/>
        </w:rPr>
        <w:t>: 3.179 empleados.</w:t>
      </w:r>
    </w:p>
    <w:p w14:paraId="4A4B6D6A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Llevant:3.100 empleados.</w:t>
      </w:r>
    </w:p>
    <w:p w14:paraId="4AB16588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Es Migjorn: 2.125 empleados.</w:t>
      </w:r>
    </w:p>
    <w:p w14:paraId="5CE39D22" w14:textId="7FA9842D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Es Pla: 1.172 empleados.</w:t>
      </w:r>
    </w:p>
    <w:p w14:paraId="23101A23" w14:textId="4838E1F1" w:rsidR="004B2628" w:rsidRPr="004B2628" w:rsidRDefault="004B2628" w:rsidP="004B2628">
      <w:pPr>
        <w:rPr>
          <w:rFonts w:ascii="Arial Narrow" w:hAnsi="Arial Narrow"/>
          <w:b/>
          <w:bCs/>
          <w:sz w:val="24"/>
          <w:szCs w:val="24"/>
        </w:rPr>
      </w:pPr>
      <w:r w:rsidRPr="004B2628">
        <w:rPr>
          <w:rFonts w:ascii="Arial Narrow" w:hAnsi="Arial Narrow"/>
          <w:b/>
          <w:bCs/>
          <w:sz w:val="24"/>
          <w:szCs w:val="24"/>
        </w:rPr>
        <w:t xml:space="preserve">3.2. Actividades comerciales en la </w:t>
      </w:r>
      <w:proofErr w:type="spellStart"/>
      <w:r w:rsidRPr="004B2628">
        <w:rPr>
          <w:rFonts w:ascii="Arial Narrow" w:hAnsi="Arial Narrow"/>
          <w:b/>
          <w:bCs/>
          <w:sz w:val="24"/>
          <w:szCs w:val="24"/>
        </w:rPr>
        <w:t>Part</w:t>
      </w:r>
      <w:proofErr w:type="spellEnd"/>
      <w:r w:rsidRPr="004B2628">
        <w:rPr>
          <w:rFonts w:ascii="Arial Narrow" w:hAnsi="Arial Narrow"/>
          <w:b/>
          <w:bCs/>
          <w:sz w:val="24"/>
          <w:szCs w:val="24"/>
        </w:rPr>
        <w:t xml:space="preserve"> </w:t>
      </w:r>
      <w:proofErr w:type="gramStart"/>
      <w:r w:rsidRPr="004B2628">
        <w:rPr>
          <w:rFonts w:ascii="Arial Narrow" w:hAnsi="Arial Narrow"/>
          <w:b/>
          <w:bCs/>
          <w:sz w:val="24"/>
          <w:szCs w:val="24"/>
        </w:rPr>
        <w:t>Forana</w:t>
      </w:r>
      <w:r>
        <w:rPr>
          <w:rFonts w:ascii="Arial Narrow" w:hAnsi="Arial Narrow"/>
          <w:b/>
          <w:bCs/>
          <w:sz w:val="24"/>
          <w:szCs w:val="24"/>
        </w:rPr>
        <w:t>.-</w:t>
      </w:r>
      <w:proofErr w:type="gramEnd"/>
    </w:p>
    <w:p w14:paraId="3BC78310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Por sectores, los más representativos son:</w:t>
      </w:r>
    </w:p>
    <w:p w14:paraId="6FFBC830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lastRenderedPageBreak/>
        <w:t>Alimentación; 961 establecimientos (19%).</w:t>
      </w:r>
    </w:p>
    <w:p w14:paraId="293BCF4D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Moda y calzado: 766 establecimientos (15%).</w:t>
      </w:r>
    </w:p>
    <w:p w14:paraId="768C8C2B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Artículos de uso doméstico: 901 establecimientos (17%).</w:t>
      </w:r>
    </w:p>
    <w:p w14:paraId="08EA4D9A" w14:textId="77777777" w:rsidR="004B2628" w:rsidRPr="004B2628" w:rsidRDefault="004B2628" w:rsidP="004B2628">
      <w:pPr>
        <w:rPr>
          <w:rFonts w:ascii="Arial Narrow" w:hAnsi="Arial Narrow"/>
          <w:b/>
          <w:bCs/>
          <w:sz w:val="24"/>
          <w:szCs w:val="24"/>
        </w:rPr>
      </w:pPr>
      <w:r w:rsidRPr="004B2628">
        <w:rPr>
          <w:rFonts w:ascii="Arial Narrow" w:hAnsi="Arial Narrow"/>
          <w:b/>
          <w:bCs/>
          <w:sz w:val="24"/>
          <w:szCs w:val="24"/>
        </w:rPr>
        <w:t>4. Tendencias recientes y previsiones</w:t>
      </w:r>
    </w:p>
    <w:p w14:paraId="1FAFC9B7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En octubre de 2024, las ventas del comercio minorista en Baleares aumentaron un 4,9% respecto al mismo mes del año anterior.</w:t>
      </w:r>
    </w:p>
    <w:p w14:paraId="35DA30DF" w14:textId="7EE4D868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Alquileres comerciales</w:t>
      </w:r>
    </w:p>
    <w:p w14:paraId="0E91A81E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En Palma, el precio medio del alquiler comercial ha alcanzado los *24 euros por metro cuadrado*.</w:t>
      </w:r>
    </w:p>
    <w:p w14:paraId="04EB36DB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Desde 2001, los alquileres se han duplicado en Mallorca y triplicado en Ibiza y Formentera.</w:t>
      </w:r>
    </w:p>
    <w:p w14:paraId="4EA42CA0" w14:textId="4F6107E0" w:rsidR="004B2628" w:rsidRPr="004B2628" w:rsidRDefault="004B2628" w:rsidP="004B2628">
      <w:pPr>
        <w:rPr>
          <w:rFonts w:ascii="Arial Narrow" w:hAnsi="Arial Narrow"/>
          <w:b/>
          <w:bCs/>
          <w:sz w:val="24"/>
          <w:szCs w:val="24"/>
        </w:rPr>
      </w:pPr>
      <w:r w:rsidRPr="004B2628">
        <w:rPr>
          <w:rFonts w:ascii="Arial Narrow" w:hAnsi="Arial Narrow"/>
          <w:b/>
          <w:bCs/>
          <w:sz w:val="24"/>
          <w:szCs w:val="24"/>
        </w:rPr>
        <w:t xml:space="preserve">5. </w:t>
      </w:r>
      <w:r w:rsidRPr="004B2628">
        <w:rPr>
          <w:rFonts w:ascii="Arial Narrow" w:hAnsi="Arial Narrow"/>
          <w:b/>
          <w:bCs/>
          <w:sz w:val="24"/>
          <w:szCs w:val="24"/>
        </w:rPr>
        <w:t>Conclusión</w:t>
      </w:r>
      <w:r>
        <w:rPr>
          <w:rFonts w:ascii="Arial Narrow" w:hAnsi="Arial Narrow"/>
          <w:b/>
          <w:bCs/>
          <w:sz w:val="24"/>
          <w:szCs w:val="24"/>
        </w:rPr>
        <w:t>. -</w:t>
      </w:r>
    </w:p>
    <w:p w14:paraId="0B50D164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El comercio minorista en Palma y la </w:t>
      </w:r>
      <w:proofErr w:type="spellStart"/>
      <w:r w:rsidRPr="004B2628">
        <w:rPr>
          <w:rFonts w:ascii="Arial Narrow" w:hAnsi="Arial Narrow"/>
          <w:sz w:val="24"/>
          <w:szCs w:val="24"/>
        </w:rPr>
        <w:t>Part</w:t>
      </w:r>
      <w:proofErr w:type="spellEnd"/>
      <w:r w:rsidRPr="004B2628">
        <w:rPr>
          <w:rFonts w:ascii="Arial Narrow" w:hAnsi="Arial Narrow"/>
          <w:sz w:val="24"/>
          <w:szCs w:val="24"/>
        </w:rPr>
        <w:t xml:space="preserve"> Forana enfrenta retos significativos:</w:t>
      </w:r>
    </w:p>
    <w:p w14:paraId="367DA5F2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- La disminución progresiva del número de establecimientos.</w:t>
      </w:r>
    </w:p>
    <w:p w14:paraId="0D540CBC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- La consolidación de un modelo descentralizado en barrios y municipios.</w:t>
      </w:r>
    </w:p>
    <w:p w14:paraId="6C793746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- La presión de los alquileres comerciales sobre la rentabilidad de los negocios.</w:t>
      </w:r>
    </w:p>
    <w:p w14:paraId="014A745E" w14:textId="77777777" w:rsidR="004B2628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>- La influencia de factores externos como el comercio electrónico y las tendencias de consumo.</w:t>
      </w:r>
    </w:p>
    <w:p w14:paraId="3DD524A0" w14:textId="7150DD6D" w:rsidR="00C44D62" w:rsidRPr="004B2628" w:rsidRDefault="004B2628" w:rsidP="004B2628">
      <w:pPr>
        <w:rPr>
          <w:rFonts w:ascii="Arial Narrow" w:hAnsi="Arial Narrow"/>
          <w:sz w:val="24"/>
          <w:szCs w:val="24"/>
        </w:rPr>
      </w:pPr>
      <w:r w:rsidRPr="004B2628">
        <w:rPr>
          <w:rFonts w:ascii="Arial Narrow" w:hAnsi="Arial Narrow"/>
          <w:sz w:val="24"/>
          <w:szCs w:val="24"/>
        </w:rPr>
        <w:t xml:space="preserve">A pesar de ello, hay oportunidades para la adaptación y el crecimiento, especialmente en sectores de comercio de </w:t>
      </w:r>
      <w:r w:rsidRPr="004B2628">
        <w:rPr>
          <w:rFonts w:ascii="Arial Narrow" w:hAnsi="Arial Narrow"/>
          <w:sz w:val="24"/>
          <w:szCs w:val="24"/>
        </w:rPr>
        <w:t>proximidad.</w:t>
      </w:r>
    </w:p>
    <w:sectPr w:rsidR="00C44D62" w:rsidRPr="004B262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99B72" w14:textId="77777777" w:rsidR="00D6282D" w:rsidRDefault="00D6282D" w:rsidP="001F0E4E">
      <w:pPr>
        <w:spacing w:after="0" w:line="240" w:lineRule="auto"/>
      </w:pPr>
      <w:r>
        <w:separator/>
      </w:r>
    </w:p>
  </w:endnote>
  <w:endnote w:type="continuationSeparator" w:id="0">
    <w:p w14:paraId="593DB9E7" w14:textId="77777777" w:rsidR="00D6282D" w:rsidRDefault="00D6282D" w:rsidP="001F0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0A714" w14:textId="77777777" w:rsidR="00D6282D" w:rsidRDefault="00D6282D" w:rsidP="001F0E4E">
      <w:pPr>
        <w:spacing w:after="0" w:line="240" w:lineRule="auto"/>
      </w:pPr>
      <w:r>
        <w:separator/>
      </w:r>
    </w:p>
  </w:footnote>
  <w:footnote w:type="continuationSeparator" w:id="0">
    <w:p w14:paraId="7213B9DF" w14:textId="77777777" w:rsidR="00D6282D" w:rsidRDefault="00D6282D" w:rsidP="001F0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3AF7" w14:textId="77777777" w:rsidR="001F0E4E" w:rsidRDefault="001F0E4E" w:rsidP="001F0E4E">
    <w:pPr>
      <w:rPr>
        <w:rFonts w:ascii="Arial" w:hAnsi="Arial" w:cs="Arial"/>
        <w:color w:val="222222"/>
        <w:shd w:val="clear" w:color="auto" w:fill="FFFFFF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21AFEB5" wp14:editId="50AA2BA9">
          <wp:simplePos x="0" y="0"/>
          <wp:positionH relativeFrom="column">
            <wp:posOffset>523240</wp:posOffset>
          </wp:positionH>
          <wp:positionV relativeFrom="paragraph">
            <wp:posOffset>415290</wp:posOffset>
          </wp:positionV>
          <wp:extent cx="1609725" cy="315595"/>
          <wp:effectExtent l="0" t="0" r="9525" b="8255"/>
          <wp:wrapSquare wrapText="bothSides"/>
          <wp:docPr id="228641301" name="Imagen 2" descr="Un dibuj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641301" name="Imagen 2" descr="Un dibujo con letras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1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2B59DE4B" wp14:editId="31B1AC4D">
          <wp:simplePos x="0" y="0"/>
          <wp:positionH relativeFrom="column">
            <wp:posOffset>-410210</wp:posOffset>
          </wp:positionH>
          <wp:positionV relativeFrom="page">
            <wp:posOffset>697230</wp:posOffset>
          </wp:positionV>
          <wp:extent cx="835025" cy="483235"/>
          <wp:effectExtent l="0" t="0" r="3175" b="0"/>
          <wp:wrapTopAndBottom/>
          <wp:docPr id="872282609" name="Imagen 1" descr="Un dibujo anima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2282609" name="Imagen 1" descr="Un dibujo animad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082BE3A3" wp14:editId="16C899A4">
          <wp:simplePos x="0" y="0"/>
          <wp:positionH relativeFrom="column">
            <wp:posOffset>5318125</wp:posOffset>
          </wp:positionH>
          <wp:positionV relativeFrom="page">
            <wp:posOffset>611505</wp:posOffset>
          </wp:positionV>
          <wp:extent cx="878400" cy="687600"/>
          <wp:effectExtent l="0" t="0" r="0" b="0"/>
          <wp:wrapTopAndBottom/>
          <wp:docPr id="1128399600" name="Imagen 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399600" name="Imagen 5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4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0" wp14:anchorId="28BAEF9D" wp14:editId="26871501">
          <wp:simplePos x="0" y="0"/>
          <wp:positionH relativeFrom="column">
            <wp:posOffset>3719195</wp:posOffset>
          </wp:positionH>
          <wp:positionV relativeFrom="page">
            <wp:posOffset>695325</wp:posOffset>
          </wp:positionV>
          <wp:extent cx="1598930" cy="601345"/>
          <wp:effectExtent l="0" t="0" r="1270" b="8255"/>
          <wp:wrapTopAndBottom/>
          <wp:docPr id="1766310557" name="Imagen 4" descr="Text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6310557" name="Imagen 4" descr="Text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93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 wp14:anchorId="273D9F55" wp14:editId="02163CCD">
          <wp:simplePos x="0" y="0"/>
          <wp:positionH relativeFrom="column">
            <wp:posOffset>2214880</wp:posOffset>
          </wp:positionH>
          <wp:positionV relativeFrom="page">
            <wp:posOffset>808990</wp:posOffset>
          </wp:positionV>
          <wp:extent cx="1504315" cy="410845"/>
          <wp:effectExtent l="0" t="0" r="635" b="8255"/>
          <wp:wrapTopAndBottom/>
          <wp:docPr id="877835206" name="Imagen 3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835206" name="Imagen 3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315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CBA7688" w14:textId="77777777" w:rsidR="001F0E4E" w:rsidRDefault="001F0E4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E4E"/>
    <w:rsid w:val="001F0E4E"/>
    <w:rsid w:val="004B2628"/>
    <w:rsid w:val="00B073F4"/>
    <w:rsid w:val="00C435C9"/>
    <w:rsid w:val="00C44D62"/>
    <w:rsid w:val="00CE0D6F"/>
    <w:rsid w:val="00D6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9EFA"/>
  <w15:chartTrackingRefBased/>
  <w15:docId w15:val="{9E135CE3-9D52-473F-B7AD-73D04EB72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F0E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F0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F0E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F0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0E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F0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F0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F0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F0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F0E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F0E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F0E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F0E4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F0E4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F0E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F0E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F0E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F0E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F0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F0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F0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F0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F0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F0E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F0E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F0E4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F0E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F0E4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F0E4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F0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0E4E"/>
  </w:style>
  <w:style w:type="paragraph" w:styleId="Piedepgina">
    <w:name w:val="footer"/>
    <w:basedOn w:val="Normal"/>
    <w:link w:val="PiedepginaCar"/>
    <w:uiPriority w:val="99"/>
    <w:unhideWhenUsed/>
    <w:rsid w:val="001F0E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0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626</Words>
  <Characters>3444</Characters>
  <Application>Microsoft Office Word</Application>
  <DocSecurity>0</DocSecurity>
  <Lines>28</Lines>
  <Paragraphs>8</Paragraphs>
  <ScaleCrop>false</ScaleCrop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Asun Sobré</dc:creator>
  <cp:keywords/>
  <dc:description/>
  <cp:lastModifiedBy>Antonio Vilella Paredes</cp:lastModifiedBy>
  <cp:revision>2</cp:revision>
  <dcterms:created xsi:type="dcterms:W3CDTF">2025-02-21T13:35:00Z</dcterms:created>
  <dcterms:modified xsi:type="dcterms:W3CDTF">2025-02-21T13:35:00Z</dcterms:modified>
</cp:coreProperties>
</file>