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FEB6C" w14:textId="77777777" w:rsidR="00A60EC0" w:rsidRPr="00A60EC0" w:rsidRDefault="00A60EC0" w:rsidP="00A60EC0">
      <w:pPr>
        <w:spacing w:line="278" w:lineRule="auto"/>
        <w:rPr>
          <w:rFonts w:ascii="Arial" w:eastAsia="Aptos" w:hAnsi="Arial" w:cs="Arial"/>
          <w:b/>
          <w:bCs/>
          <w:color w:val="222222"/>
          <w:sz w:val="24"/>
          <w:szCs w:val="24"/>
          <w:shd w:val="clear" w:color="auto" w:fill="FFFFFF"/>
        </w:rPr>
      </w:pPr>
      <w:r w:rsidRPr="00A60EC0">
        <w:rPr>
          <w:rFonts w:ascii="Arial" w:eastAsia="Aptos" w:hAnsi="Arial" w:cs="Arial"/>
          <w:b/>
          <w:bCs/>
          <w:color w:val="222222"/>
          <w:sz w:val="24"/>
          <w:szCs w:val="24"/>
          <w:shd w:val="clear" w:color="auto" w:fill="FFFFFF"/>
        </w:rPr>
        <w:t>Informe detallado sobre el estado del comercio en Palma, incorporando datos recientes y relevantes obtenidos de diversas fuentes.</w:t>
      </w:r>
    </w:p>
    <w:p w14:paraId="2FC783B9" w14:textId="77777777" w:rsidR="00A60EC0" w:rsidRPr="00A60EC0" w:rsidRDefault="00A60EC0" w:rsidP="00A60EC0">
      <w:pPr>
        <w:spacing w:line="278" w:lineRule="auto"/>
        <w:rPr>
          <w:rFonts w:ascii="Aptos" w:eastAsia="Aptos" w:hAnsi="Aptos" w:cs="Times New Roman"/>
          <w:sz w:val="24"/>
          <w:szCs w:val="24"/>
        </w:rPr>
      </w:pPr>
      <w:r w:rsidRPr="00A60EC0">
        <w:rPr>
          <w:rFonts w:ascii="Arial" w:eastAsia="Aptos" w:hAnsi="Arial" w:cs="Arial"/>
          <w:b/>
          <w:bCs/>
          <w:color w:val="222222"/>
          <w:sz w:val="24"/>
          <w:szCs w:val="24"/>
          <w:shd w:val="clear" w:color="auto" w:fill="FFFFFF"/>
        </w:rPr>
        <w:t>FONDO TECNOLOGICO DE COMERCIO</w:t>
      </w:r>
      <w:r w:rsidRPr="00A60EC0">
        <w:rPr>
          <w:rFonts w:ascii="Arial" w:eastAsia="Aptos" w:hAnsi="Arial" w:cs="Arial"/>
          <w:color w:val="222222"/>
          <w:sz w:val="24"/>
          <w:szCs w:val="24"/>
        </w:rPr>
        <w:t>. -</w:t>
      </w:r>
      <w:r w:rsidRPr="00A60EC0">
        <w:rPr>
          <w:rFonts w:ascii="Arial" w:eastAsia="Aptos" w:hAnsi="Arial" w:cs="Arial"/>
          <w:color w:val="222222"/>
          <w:sz w:val="24"/>
          <w:szCs w:val="24"/>
        </w:rPr>
        <w:br/>
      </w:r>
      <w:r w:rsidRPr="00A60EC0">
        <w:rPr>
          <w:rFonts w:ascii="Arial" w:eastAsia="Aptos" w:hAnsi="Arial" w:cs="Arial"/>
          <w:color w:val="222222"/>
          <w:sz w:val="24"/>
          <w:szCs w:val="24"/>
        </w:rPr>
        <w:br/>
      </w:r>
      <w:r w:rsidRPr="00A60EC0">
        <w:rPr>
          <w:rFonts w:ascii="Arial" w:eastAsia="Aptos" w:hAnsi="Arial" w:cs="Arial"/>
          <w:b/>
          <w:bCs/>
          <w:color w:val="222222"/>
          <w:sz w:val="24"/>
          <w:szCs w:val="24"/>
          <w:shd w:val="clear" w:color="auto" w:fill="FFFFFF"/>
        </w:rPr>
        <w:t>Desempeño General del Comercio en 2024.-</w:t>
      </w:r>
      <w:r w:rsidRPr="00A60EC0">
        <w:rPr>
          <w:rFonts w:ascii="Arial" w:eastAsia="Aptos" w:hAnsi="Arial" w:cs="Arial"/>
          <w:color w:val="222222"/>
          <w:sz w:val="24"/>
          <w:szCs w:val="24"/>
        </w:rPr>
        <w:br/>
      </w:r>
      <w:r w:rsidRPr="00A60EC0">
        <w:rPr>
          <w:rFonts w:ascii="Arial" w:eastAsia="Aptos" w:hAnsi="Arial" w:cs="Arial"/>
          <w:color w:val="222222"/>
          <w:sz w:val="24"/>
          <w:szCs w:val="24"/>
          <w:shd w:val="clear" w:color="auto" w:fill="FFFFFF"/>
        </w:rPr>
        <w:t>El sector comercial en Baleares cerró el año 2024 con una variación positiva del 0,5% en las ventas, según datos del Observatorio del Comercio de las Illes Balears. Este crecimiento se atribuye tanto al consumo local como al incremento del gasto turístico, que alcanzó los 931,9 millones de euros en el tercer trimestre, representando un 8,3% del total del gasto turístico en la región.</w:t>
      </w:r>
      <w:r w:rsidRPr="00A60EC0">
        <w:rPr>
          <w:rFonts w:ascii="Arial" w:eastAsia="Aptos" w:hAnsi="Arial" w:cs="Arial"/>
          <w:color w:val="222222"/>
          <w:sz w:val="24"/>
          <w:szCs w:val="24"/>
        </w:rPr>
        <w:br/>
      </w:r>
      <w:r w:rsidRPr="00A60EC0">
        <w:rPr>
          <w:rFonts w:ascii="Arial" w:eastAsia="Aptos" w:hAnsi="Arial" w:cs="Arial"/>
          <w:b/>
          <w:bCs/>
          <w:color w:val="222222"/>
          <w:sz w:val="24"/>
          <w:szCs w:val="24"/>
          <w:shd w:val="clear" w:color="auto" w:fill="FFFFFF"/>
        </w:rPr>
        <w:t>Distribución de Empresas Comerciales en Palma.-</w:t>
      </w:r>
      <w:r w:rsidRPr="00A60EC0">
        <w:rPr>
          <w:rFonts w:ascii="Arial" w:eastAsia="Aptos" w:hAnsi="Arial" w:cs="Arial"/>
          <w:color w:val="222222"/>
          <w:sz w:val="24"/>
          <w:szCs w:val="24"/>
        </w:rPr>
        <w:br/>
      </w:r>
      <w:r w:rsidRPr="00A60EC0">
        <w:rPr>
          <w:rFonts w:ascii="Arial" w:eastAsia="Aptos" w:hAnsi="Arial" w:cs="Arial"/>
          <w:color w:val="222222"/>
          <w:sz w:val="24"/>
          <w:szCs w:val="24"/>
          <w:shd w:val="clear" w:color="auto" w:fill="FFFFFF"/>
        </w:rPr>
        <w:t>Según datos previos, Palma cuenta con un total de 4.335 establecimientos comerciales, distribuidos de la siguiente manera:</w:t>
      </w:r>
      <w:r w:rsidRPr="00A60EC0">
        <w:rPr>
          <w:rFonts w:ascii="Arial" w:eastAsia="Aptos" w:hAnsi="Arial" w:cs="Arial"/>
          <w:color w:val="222222"/>
          <w:sz w:val="24"/>
          <w:szCs w:val="24"/>
        </w:rPr>
        <w:br/>
      </w:r>
      <w:r w:rsidRPr="00A60EC0">
        <w:rPr>
          <w:rFonts w:ascii="Arial" w:eastAsia="Aptos" w:hAnsi="Arial" w:cs="Arial"/>
          <w:color w:val="222222"/>
          <w:sz w:val="24"/>
          <w:szCs w:val="24"/>
          <w:shd w:val="clear" w:color="auto" w:fill="FFFFFF"/>
        </w:rPr>
        <w:t>• Microempresas: 3.927</w:t>
      </w:r>
      <w:r w:rsidRPr="00A60EC0">
        <w:rPr>
          <w:rFonts w:ascii="Arial" w:eastAsia="Aptos" w:hAnsi="Arial" w:cs="Arial"/>
          <w:color w:val="222222"/>
          <w:sz w:val="24"/>
          <w:szCs w:val="24"/>
        </w:rPr>
        <w:br/>
      </w:r>
      <w:r w:rsidRPr="00A60EC0">
        <w:rPr>
          <w:rFonts w:ascii="Arial" w:eastAsia="Aptos" w:hAnsi="Arial" w:cs="Arial"/>
          <w:color w:val="222222"/>
          <w:sz w:val="24"/>
          <w:szCs w:val="24"/>
          <w:shd w:val="clear" w:color="auto" w:fill="FFFFFF"/>
        </w:rPr>
        <w:t>• Pequeñas empresas: 184</w:t>
      </w:r>
      <w:r w:rsidRPr="00A60EC0">
        <w:rPr>
          <w:rFonts w:ascii="Arial" w:eastAsia="Aptos" w:hAnsi="Arial" w:cs="Arial"/>
          <w:color w:val="222222"/>
          <w:sz w:val="24"/>
          <w:szCs w:val="24"/>
        </w:rPr>
        <w:br/>
      </w:r>
      <w:r w:rsidRPr="00A60EC0">
        <w:rPr>
          <w:rFonts w:ascii="Arial" w:eastAsia="Aptos" w:hAnsi="Arial" w:cs="Arial"/>
          <w:color w:val="222222"/>
          <w:sz w:val="24"/>
          <w:szCs w:val="24"/>
          <w:shd w:val="clear" w:color="auto" w:fill="FFFFFF"/>
        </w:rPr>
        <w:t>• Medianas empresas: 62</w:t>
      </w:r>
      <w:r w:rsidRPr="00A60EC0">
        <w:rPr>
          <w:rFonts w:ascii="Arial" w:eastAsia="Aptos" w:hAnsi="Arial" w:cs="Arial"/>
          <w:color w:val="222222"/>
          <w:sz w:val="24"/>
          <w:szCs w:val="24"/>
        </w:rPr>
        <w:br/>
      </w:r>
      <w:r w:rsidRPr="00A60EC0">
        <w:rPr>
          <w:rFonts w:ascii="Arial" w:eastAsia="Aptos" w:hAnsi="Arial" w:cs="Arial"/>
          <w:color w:val="222222"/>
          <w:sz w:val="24"/>
          <w:szCs w:val="24"/>
          <w:shd w:val="clear" w:color="auto" w:fill="FFFFFF"/>
        </w:rPr>
        <w:t>• Grandes empresas: 162</w:t>
      </w:r>
      <w:r w:rsidRPr="00A60EC0">
        <w:rPr>
          <w:rFonts w:ascii="Arial" w:eastAsia="Aptos" w:hAnsi="Arial" w:cs="Arial"/>
          <w:color w:val="222222"/>
          <w:sz w:val="24"/>
          <w:szCs w:val="24"/>
        </w:rPr>
        <w:br/>
      </w:r>
      <w:r w:rsidRPr="00A60EC0">
        <w:rPr>
          <w:rFonts w:ascii="Arial" w:eastAsia="Aptos" w:hAnsi="Arial" w:cs="Arial"/>
          <w:color w:val="222222"/>
          <w:sz w:val="24"/>
          <w:szCs w:val="24"/>
          <w:shd w:val="clear" w:color="auto" w:fill="FFFFFF"/>
        </w:rPr>
        <w:t>Las microempresas representan la mayor proporción del tejido comercial de la ciudad, concentrándose principalmente en sectores como alimentación (27%), prendas de vestir y calzado (18%) y artículos de uso doméstico (16%).</w:t>
      </w:r>
      <w:r w:rsidRPr="00A60EC0">
        <w:rPr>
          <w:rFonts w:ascii="Arial" w:eastAsia="Aptos" w:hAnsi="Arial" w:cs="Arial"/>
          <w:color w:val="222222"/>
          <w:sz w:val="24"/>
          <w:szCs w:val="24"/>
        </w:rPr>
        <w:br/>
      </w:r>
      <w:r w:rsidRPr="00A60EC0">
        <w:rPr>
          <w:rFonts w:ascii="Arial" w:eastAsia="Aptos" w:hAnsi="Arial" w:cs="Arial"/>
          <w:b/>
          <w:bCs/>
          <w:color w:val="222222"/>
          <w:sz w:val="24"/>
          <w:szCs w:val="24"/>
          <w:shd w:val="clear" w:color="auto" w:fill="FFFFFF"/>
        </w:rPr>
        <w:t>Empleo en el Sector Comercial</w:t>
      </w:r>
      <w:r w:rsidRPr="00A60EC0">
        <w:rPr>
          <w:rFonts w:ascii="Arial" w:eastAsia="Aptos" w:hAnsi="Arial" w:cs="Arial"/>
          <w:b/>
          <w:bCs/>
          <w:color w:val="222222"/>
          <w:sz w:val="24"/>
          <w:szCs w:val="24"/>
        </w:rPr>
        <w:br/>
      </w:r>
      <w:r w:rsidRPr="00A60EC0">
        <w:rPr>
          <w:rFonts w:ascii="Arial" w:eastAsia="Aptos" w:hAnsi="Arial" w:cs="Arial"/>
          <w:color w:val="222222"/>
          <w:sz w:val="24"/>
          <w:szCs w:val="24"/>
          <w:shd w:val="clear" w:color="auto" w:fill="FFFFFF"/>
        </w:rPr>
        <w:t>El empleo en el sector comercio de Baleares mostró un comportamiento positivo en 2024, alcanzando casi 50.500 trabajadores, lo que representa un incremento del 0,4% respecto al año anterior. Este aumento se observó principalmente en Mallorca y Formentera, con variaciones del 2,3% y 1,8% respectivamente.</w:t>
      </w:r>
      <w:r w:rsidRPr="00A60EC0">
        <w:rPr>
          <w:rFonts w:ascii="Arial" w:eastAsia="Aptos" w:hAnsi="Arial" w:cs="Arial"/>
          <w:color w:val="222222"/>
          <w:sz w:val="24"/>
          <w:szCs w:val="24"/>
        </w:rPr>
        <w:br/>
      </w:r>
      <w:r w:rsidRPr="00A60EC0">
        <w:rPr>
          <w:rFonts w:ascii="Arial" w:eastAsia="Aptos" w:hAnsi="Arial" w:cs="Arial"/>
          <w:b/>
          <w:bCs/>
          <w:color w:val="222222"/>
          <w:sz w:val="24"/>
          <w:szCs w:val="24"/>
          <w:shd w:val="clear" w:color="auto" w:fill="FFFFFF"/>
        </w:rPr>
        <w:t>Desafíos y Perspectivas para 2025</w:t>
      </w:r>
      <w:r w:rsidRPr="00A60EC0">
        <w:rPr>
          <w:rFonts w:ascii="Arial" w:eastAsia="Aptos" w:hAnsi="Arial" w:cs="Arial"/>
          <w:color w:val="222222"/>
          <w:sz w:val="24"/>
          <w:szCs w:val="24"/>
        </w:rPr>
        <w:t>.-</w:t>
      </w:r>
      <w:r w:rsidRPr="00A60EC0">
        <w:rPr>
          <w:rFonts w:ascii="Arial" w:eastAsia="Aptos" w:hAnsi="Arial" w:cs="Arial"/>
          <w:color w:val="222222"/>
          <w:sz w:val="24"/>
          <w:szCs w:val="24"/>
        </w:rPr>
        <w:br/>
      </w:r>
      <w:r w:rsidRPr="00A60EC0">
        <w:rPr>
          <w:rFonts w:ascii="Arial" w:eastAsia="Aptos" w:hAnsi="Arial" w:cs="Arial"/>
          <w:color w:val="222222"/>
          <w:sz w:val="24"/>
          <w:szCs w:val="24"/>
          <w:shd w:val="clear" w:color="auto" w:fill="FFFFFF"/>
        </w:rPr>
        <w:t>A pesar del cierre positivo en 2024, las perspectivas para el primer trimestre de 2025 son menos optimistas. Se prevé una disminución del 13% en las ventas, acompañada de una caída de cuatro puntos en el índice de confianza empresarial. Este pesimismo se debe, en parte, a la competencia de las ventas en línea y a cambios en los hábitos de consumo.</w:t>
      </w:r>
      <w:r w:rsidRPr="00A60EC0">
        <w:rPr>
          <w:rFonts w:ascii="Arial" w:eastAsia="Aptos" w:hAnsi="Arial" w:cs="Arial"/>
          <w:color w:val="222222"/>
          <w:sz w:val="24"/>
          <w:szCs w:val="24"/>
        </w:rPr>
        <w:br/>
      </w:r>
      <w:r w:rsidRPr="00A60EC0">
        <w:rPr>
          <w:rFonts w:ascii="Arial" w:eastAsia="Aptos" w:hAnsi="Arial" w:cs="Arial"/>
          <w:b/>
          <w:bCs/>
          <w:color w:val="222222"/>
          <w:sz w:val="24"/>
          <w:szCs w:val="24"/>
          <w:shd w:val="clear" w:color="auto" w:fill="FFFFFF"/>
        </w:rPr>
        <w:t>Transformación del Comercio Tradicional</w:t>
      </w:r>
      <w:r w:rsidRPr="00A60EC0">
        <w:rPr>
          <w:rFonts w:ascii="Arial" w:eastAsia="Aptos" w:hAnsi="Arial" w:cs="Arial"/>
          <w:color w:val="222222"/>
          <w:sz w:val="24"/>
          <w:szCs w:val="24"/>
        </w:rPr>
        <w:t>. -</w:t>
      </w:r>
      <w:r w:rsidRPr="00A60EC0">
        <w:rPr>
          <w:rFonts w:ascii="Arial" w:eastAsia="Aptos" w:hAnsi="Arial" w:cs="Arial"/>
          <w:color w:val="222222"/>
          <w:sz w:val="24"/>
          <w:szCs w:val="24"/>
        </w:rPr>
        <w:br/>
      </w:r>
      <w:r w:rsidRPr="00A60EC0">
        <w:rPr>
          <w:rFonts w:ascii="Arial" w:eastAsia="Aptos" w:hAnsi="Arial" w:cs="Arial"/>
          <w:color w:val="222222"/>
          <w:sz w:val="24"/>
          <w:szCs w:val="24"/>
          <w:shd w:val="clear" w:color="auto" w:fill="FFFFFF"/>
        </w:rPr>
        <w:t xml:space="preserve">Un fenómeno notable en Palma es la disminución de comercios tradicionales, especialmente en zonas céntricas como las calles Sindicato, Sant Miquel y </w:t>
      </w:r>
      <w:proofErr w:type="spellStart"/>
      <w:r w:rsidRPr="00A60EC0">
        <w:rPr>
          <w:rFonts w:ascii="Arial" w:eastAsia="Aptos" w:hAnsi="Arial" w:cs="Arial"/>
          <w:color w:val="222222"/>
          <w:sz w:val="24"/>
          <w:szCs w:val="24"/>
          <w:shd w:val="clear" w:color="auto" w:fill="FFFFFF"/>
        </w:rPr>
        <w:t>Oms</w:t>
      </w:r>
      <w:proofErr w:type="spellEnd"/>
      <w:r w:rsidRPr="00A60EC0">
        <w:rPr>
          <w:rFonts w:ascii="Arial" w:eastAsia="Aptos" w:hAnsi="Arial" w:cs="Arial"/>
          <w:color w:val="222222"/>
          <w:sz w:val="24"/>
          <w:szCs w:val="24"/>
          <w:shd w:val="clear" w:color="auto" w:fill="FFFFFF"/>
        </w:rPr>
        <w:t>. Muchos de estos establecimientos han cerrado, siendo reemplazados por franquicias y grandes marcas, lo que ha generado una pérdida en la identidad comercial y cultural de la ciudad.</w:t>
      </w:r>
      <w:r w:rsidRPr="00A60EC0">
        <w:rPr>
          <w:rFonts w:ascii="Arial" w:eastAsia="Aptos" w:hAnsi="Arial" w:cs="Arial"/>
          <w:color w:val="222222"/>
          <w:sz w:val="24"/>
          <w:szCs w:val="24"/>
        </w:rPr>
        <w:br/>
      </w:r>
      <w:r w:rsidRPr="00A60EC0">
        <w:rPr>
          <w:rFonts w:ascii="Arial" w:eastAsia="Aptos" w:hAnsi="Arial" w:cs="Arial"/>
          <w:b/>
          <w:bCs/>
          <w:color w:val="222222"/>
          <w:sz w:val="24"/>
          <w:szCs w:val="24"/>
          <w:shd w:val="clear" w:color="auto" w:fill="FFFFFF"/>
        </w:rPr>
        <w:t>Precios de Alquiler de Locales Comerciales</w:t>
      </w:r>
      <w:r w:rsidRPr="00A60EC0">
        <w:rPr>
          <w:rFonts w:ascii="Arial" w:eastAsia="Aptos" w:hAnsi="Arial" w:cs="Arial"/>
          <w:color w:val="222222"/>
          <w:sz w:val="24"/>
          <w:szCs w:val="24"/>
          <w:shd w:val="clear" w:color="auto" w:fill="FFFFFF"/>
        </w:rPr>
        <w:t>. -</w:t>
      </w:r>
      <w:r w:rsidRPr="00A60EC0">
        <w:rPr>
          <w:rFonts w:ascii="Arial" w:eastAsia="Aptos" w:hAnsi="Arial" w:cs="Arial"/>
          <w:color w:val="222222"/>
          <w:sz w:val="24"/>
          <w:szCs w:val="24"/>
          <w:shd w:val="clear" w:color="auto" w:fill="FFFFFF"/>
        </w:rPr>
        <w:br/>
        <w:t xml:space="preserve">El precio de los alquileres comerciales ha experimentado un aumento </w:t>
      </w:r>
      <w:r w:rsidRPr="00A60EC0">
        <w:rPr>
          <w:rFonts w:ascii="Arial" w:eastAsia="Aptos" w:hAnsi="Arial" w:cs="Arial"/>
          <w:color w:val="222222"/>
          <w:sz w:val="24"/>
          <w:szCs w:val="24"/>
          <w:shd w:val="clear" w:color="auto" w:fill="FFFFFF"/>
        </w:rPr>
        <w:lastRenderedPageBreak/>
        <w:t>significativo, duplicándose desde 2001 en Baleares y triplicándose en Palma, Ibiza y Formentera. Actualmente, el precio medio del alquiler comercial en Palma es de 24 euros por metro cuadrado, con rentas mensuales promedio de 2.400 euros. En las zonas más comerciales del centro, los precios pueden alcanzar hasta 74 euros por metro cuadrado.</w:t>
      </w:r>
      <w:r w:rsidRPr="00A60EC0">
        <w:rPr>
          <w:rFonts w:ascii="Arial" w:eastAsia="Aptos" w:hAnsi="Arial" w:cs="Arial"/>
          <w:color w:val="222222"/>
          <w:sz w:val="24"/>
          <w:szCs w:val="24"/>
        </w:rPr>
        <w:br/>
      </w:r>
      <w:r w:rsidRPr="00A60EC0">
        <w:rPr>
          <w:rFonts w:ascii="Arial" w:eastAsia="Aptos" w:hAnsi="Arial" w:cs="Arial"/>
          <w:b/>
          <w:bCs/>
          <w:color w:val="222222"/>
          <w:sz w:val="24"/>
          <w:szCs w:val="24"/>
          <w:shd w:val="clear" w:color="auto" w:fill="FFFFFF"/>
        </w:rPr>
        <w:t>Conclusión</w:t>
      </w:r>
      <w:r w:rsidRPr="00A60EC0">
        <w:rPr>
          <w:rFonts w:ascii="Arial" w:eastAsia="Aptos" w:hAnsi="Arial" w:cs="Arial"/>
          <w:color w:val="222222"/>
          <w:sz w:val="24"/>
          <w:szCs w:val="24"/>
        </w:rPr>
        <w:t>. -</w:t>
      </w:r>
      <w:r w:rsidRPr="00A60EC0">
        <w:rPr>
          <w:rFonts w:ascii="Arial" w:eastAsia="Aptos" w:hAnsi="Arial" w:cs="Arial"/>
          <w:color w:val="222222"/>
          <w:sz w:val="24"/>
          <w:szCs w:val="24"/>
        </w:rPr>
        <w:br/>
      </w:r>
      <w:r w:rsidRPr="00A60EC0">
        <w:rPr>
          <w:rFonts w:ascii="Arial" w:eastAsia="Aptos" w:hAnsi="Arial" w:cs="Arial"/>
          <w:color w:val="222222"/>
          <w:sz w:val="24"/>
          <w:szCs w:val="24"/>
          <w:shd w:val="clear" w:color="auto" w:fill="FFFFFF"/>
        </w:rPr>
        <w:t>El comercio en Palma enfrenta una serie de desafíos, incluyendo la competencia del comercio en línea, el aumento de los precios de alquiler y la transformación del paisaje comercial tradicional. Sin embargo, el crecimiento en las ventas y el empleo durante 2024 indican una resiliencia en el sector. Para 2025, será crucial que los comerciantes locales adopten estrategias de digitalización y adaptación a las nuevas tendencias de consumo para mantener su competitividad y relevancia en el mercado.</w:t>
      </w:r>
    </w:p>
    <w:p w14:paraId="3DD524A0" w14:textId="77777777" w:rsidR="00C44D62" w:rsidRDefault="00C44D62"/>
    <w:sectPr w:rsidR="00C44D62">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1DBC1" w14:textId="77777777" w:rsidR="00CA36B9" w:rsidRDefault="00CA36B9" w:rsidP="001F0E4E">
      <w:pPr>
        <w:spacing w:after="0" w:line="240" w:lineRule="auto"/>
      </w:pPr>
      <w:r>
        <w:separator/>
      </w:r>
    </w:p>
  </w:endnote>
  <w:endnote w:type="continuationSeparator" w:id="0">
    <w:p w14:paraId="6084D2A7" w14:textId="77777777" w:rsidR="00CA36B9" w:rsidRDefault="00CA36B9" w:rsidP="001F0E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15932" w14:textId="77777777" w:rsidR="00CA36B9" w:rsidRDefault="00CA36B9" w:rsidP="001F0E4E">
      <w:pPr>
        <w:spacing w:after="0" w:line="240" w:lineRule="auto"/>
      </w:pPr>
      <w:r>
        <w:separator/>
      </w:r>
    </w:p>
  </w:footnote>
  <w:footnote w:type="continuationSeparator" w:id="0">
    <w:p w14:paraId="6EB6E9CF" w14:textId="77777777" w:rsidR="00CA36B9" w:rsidRDefault="00CA36B9" w:rsidP="001F0E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83AF7" w14:textId="15D54E09" w:rsidR="001F0E4E" w:rsidRDefault="00A60EC0" w:rsidP="001F0E4E">
    <w:pPr>
      <w:rPr>
        <w:rFonts w:ascii="Arial" w:hAnsi="Arial" w:cs="Arial"/>
        <w:color w:val="222222"/>
        <w:shd w:val="clear" w:color="auto" w:fill="FFFFFF"/>
      </w:rPr>
    </w:pPr>
    <w:r>
      <w:rPr>
        <w:noProof/>
      </w:rPr>
      <w:drawing>
        <wp:anchor distT="0" distB="0" distL="114300" distR="114300" simplePos="0" relativeHeight="251660288" behindDoc="0" locked="0" layoutInCell="1" allowOverlap="0" wp14:anchorId="2B59DE4B" wp14:editId="39759275">
          <wp:simplePos x="0" y="0"/>
          <wp:positionH relativeFrom="column">
            <wp:posOffset>-568960</wp:posOffset>
          </wp:positionH>
          <wp:positionV relativeFrom="page">
            <wp:posOffset>678180</wp:posOffset>
          </wp:positionV>
          <wp:extent cx="835025" cy="483235"/>
          <wp:effectExtent l="0" t="0" r="3175" b="0"/>
          <wp:wrapTopAndBottom/>
          <wp:docPr id="872282609" name="Imagen 1" descr="Un dibujo animad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282609" name="Imagen 1" descr="Un dibujo animado&#10;&#10;Descripción generada automáticamente con confianza baj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35025" cy="4832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F0E4E">
      <w:rPr>
        <w:noProof/>
      </w:rPr>
      <w:drawing>
        <wp:anchor distT="0" distB="0" distL="114300" distR="114300" simplePos="0" relativeHeight="251659264" behindDoc="0" locked="0" layoutInCell="1" allowOverlap="1" wp14:anchorId="321AFEB5" wp14:editId="3EB45560">
          <wp:simplePos x="0" y="0"/>
          <wp:positionH relativeFrom="column">
            <wp:posOffset>523240</wp:posOffset>
          </wp:positionH>
          <wp:positionV relativeFrom="paragraph">
            <wp:posOffset>415290</wp:posOffset>
          </wp:positionV>
          <wp:extent cx="1609725" cy="315595"/>
          <wp:effectExtent l="0" t="0" r="9525" b="8255"/>
          <wp:wrapSquare wrapText="bothSides"/>
          <wp:docPr id="228641301" name="Imagen 2" descr="Un dibuj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641301" name="Imagen 2" descr="Un dibujo con letras&#10;&#10;Descripción generada automáticamente con confianza med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09725" cy="3155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F0E4E">
      <w:rPr>
        <w:noProof/>
      </w:rPr>
      <w:drawing>
        <wp:anchor distT="0" distB="0" distL="114300" distR="114300" simplePos="0" relativeHeight="251663360" behindDoc="0" locked="0" layoutInCell="1" allowOverlap="0" wp14:anchorId="082BE3A3" wp14:editId="16C899A4">
          <wp:simplePos x="0" y="0"/>
          <wp:positionH relativeFrom="column">
            <wp:posOffset>5318125</wp:posOffset>
          </wp:positionH>
          <wp:positionV relativeFrom="page">
            <wp:posOffset>611505</wp:posOffset>
          </wp:positionV>
          <wp:extent cx="878400" cy="687600"/>
          <wp:effectExtent l="0" t="0" r="0" b="0"/>
          <wp:wrapTopAndBottom/>
          <wp:docPr id="1128399600" name="Imagen 5"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399600" name="Imagen 5" descr="Texto&#10;&#10;Descripción generada automáticamente"/>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878400" cy="687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F0E4E">
      <w:rPr>
        <w:noProof/>
      </w:rPr>
      <w:drawing>
        <wp:anchor distT="0" distB="0" distL="114300" distR="114300" simplePos="0" relativeHeight="251662336" behindDoc="0" locked="0" layoutInCell="1" allowOverlap="0" wp14:anchorId="28BAEF9D" wp14:editId="26871501">
          <wp:simplePos x="0" y="0"/>
          <wp:positionH relativeFrom="column">
            <wp:posOffset>3719195</wp:posOffset>
          </wp:positionH>
          <wp:positionV relativeFrom="page">
            <wp:posOffset>695325</wp:posOffset>
          </wp:positionV>
          <wp:extent cx="1598930" cy="601345"/>
          <wp:effectExtent l="0" t="0" r="1270" b="8255"/>
          <wp:wrapTopAndBottom/>
          <wp:docPr id="1766310557" name="Imagen 4"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310557" name="Imagen 4" descr="Texto&#10;&#10;Descripción generada automáticamente con confianza baja"/>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98930" cy="6013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F0E4E">
      <w:rPr>
        <w:noProof/>
      </w:rPr>
      <w:drawing>
        <wp:anchor distT="0" distB="0" distL="114300" distR="114300" simplePos="0" relativeHeight="251661312" behindDoc="0" locked="0" layoutInCell="1" allowOverlap="0" wp14:anchorId="273D9F55" wp14:editId="02163CCD">
          <wp:simplePos x="0" y="0"/>
          <wp:positionH relativeFrom="column">
            <wp:posOffset>2214880</wp:posOffset>
          </wp:positionH>
          <wp:positionV relativeFrom="page">
            <wp:posOffset>808990</wp:posOffset>
          </wp:positionV>
          <wp:extent cx="1504315" cy="410845"/>
          <wp:effectExtent l="0" t="0" r="635" b="8255"/>
          <wp:wrapTopAndBottom/>
          <wp:docPr id="877835206" name="Imagen 3"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835206" name="Imagen 3" descr="Imagen que contiene Texto&#10;&#10;Descripción generada automáticamen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04315" cy="4108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BA7688" w14:textId="77777777" w:rsidR="001F0E4E" w:rsidRDefault="001F0E4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E4E"/>
    <w:rsid w:val="001F0E4E"/>
    <w:rsid w:val="00A60EC0"/>
    <w:rsid w:val="00B073F4"/>
    <w:rsid w:val="00C435C9"/>
    <w:rsid w:val="00C44D62"/>
    <w:rsid w:val="00CA36B9"/>
    <w:rsid w:val="00CE0D6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59EFA"/>
  <w15:chartTrackingRefBased/>
  <w15:docId w15:val="{9E135CE3-9D52-473F-B7AD-73D04EB72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F0E4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F0E4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F0E4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F0E4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F0E4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F0E4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F0E4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F0E4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F0E4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F0E4E"/>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F0E4E"/>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F0E4E"/>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F0E4E"/>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F0E4E"/>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F0E4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F0E4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F0E4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F0E4E"/>
    <w:rPr>
      <w:rFonts w:eastAsiaTheme="majorEastAsia" w:cstheme="majorBidi"/>
      <w:color w:val="272727" w:themeColor="text1" w:themeTint="D8"/>
    </w:rPr>
  </w:style>
  <w:style w:type="paragraph" w:styleId="Ttulo">
    <w:name w:val="Title"/>
    <w:basedOn w:val="Normal"/>
    <w:next w:val="Normal"/>
    <w:link w:val="TtuloCar"/>
    <w:uiPriority w:val="10"/>
    <w:qFormat/>
    <w:rsid w:val="001F0E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F0E4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F0E4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F0E4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F0E4E"/>
    <w:pPr>
      <w:spacing w:before="160"/>
      <w:jc w:val="center"/>
    </w:pPr>
    <w:rPr>
      <w:i/>
      <w:iCs/>
      <w:color w:val="404040" w:themeColor="text1" w:themeTint="BF"/>
    </w:rPr>
  </w:style>
  <w:style w:type="character" w:customStyle="1" w:styleId="CitaCar">
    <w:name w:val="Cita Car"/>
    <w:basedOn w:val="Fuentedeprrafopredeter"/>
    <w:link w:val="Cita"/>
    <w:uiPriority w:val="29"/>
    <w:rsid w:val="001F0E4E"/>
    <w:rPr>
      <w:i/>
      <w:iCs/>
      <w:color w:val="404040" w:themeColor="text1" w:themeTint="BF"/>
    </w:rPr>
  </w:style>
  <w:style w:type="paragraph" w:styleId="Prrafodelista">
    <w:name w:val="List Paragraph"/>
    <w:basedOn w:val="Normal"/>
    <w:uiPriority w:val="34"/>
    <w:qFormat/>
    <w:rsid w:val="001F0E4E"/>
    <w:pPr>
      <w:ind w:left="720"/>
      <w:contextualSpacing/>
    </w:pPr>
  </w:style>
  <w:style w:type="character" w:styleId="nfasisintenso">
    <w:name w:val="Intense Emphasis"/>
    <w:basedOn w:val="Fuentedeprrafopredeter"/>
    <w:uiPriority w:val="21"/>
    <w:qFormat/>
    <w:rsid w:val="001F0E4E"/>
    <w:rPr>
      <w:i/>
      <w:iCs/>
      <w:color w:val="2F5496" w:themeColor="accent1" w:themeShade="BF"/>
    </w:rPr>
  </w:style>
  <w:style w:type="paragraph" w:styleId="Citadestacada">
    <w:name w:val="Intense Quote"/>
    <w:basedOn w:val="Normal"/>
    <w:next w:val="Normal"/>
    <w:link w:val="CitadestacadaCar"/>
    <w:uiPriority w:val="30"/>
    <w:qFormat/>
    <w:rsid w:val="001F0E4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F0E4E"/>
    <w:rPr>
      <w:i/>
      <w:iCs/>
      <w:color w:val="2F5496" w:themeColor="accent1" w:themeShade="BF"/>
    </w:rPr>
  </w:style>
  <w:style w:type="character" w:styleId="Referenciaintensa">
    <w:name w:val="Intense Reference"/>
    <w:basedOn w:val="Fuentedeprrafopredeter"/>
    <w:uiPriority w:val="32"/>
    <w:qFormat/>
    <w:rsid w:val="001F0E4E"/>
    <w:rPr>
      <w:b/>
      <w:bCs/>
      <w:smallCaps/>
      <w:color w:val="2F5496" w:themeColor="accent1" w:themeShade="BF"/>
      <w:spacing w:val="5"/>
    </w:rPr>
  </w:style>
  <w:style w:type="paragraph" w:styleId="Encabezado">
    <w:name w:val="header"/>
    <w:basedOn w:val="Normal"/>
    <w:link w:val="EncabezadoCar"/>
    <w:uiPriority w:val="99"/>
    <w:unhideWhenUsed/>
    <w:rsid w:val="001F0E4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F0E4E"/>
  </w:style>
  <w:style w:type="paragraph" w:styleId="Piedepgina">
    <w:name w:val="footer"/>
    <w:basedOn w:val="Normal"/>
    <w:link w:val="PiedepginaCar"/>
    <w:uiPriority w:val="99"/>
    <w:unhideWhenUsed/>
    <w:rsid w:val="001F0E4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F0E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484</Words>
  <Characters>2668</Characters>
  <Application>Microsoft Office Word</Application>
  <DocSecurity>0</DocSecurity>
  <Lines>22</Lines>
  <Paragraphs>6</Paragraphs>
  <ScaleCrop>false</ScaleCrop>
  <Company/>
  <LinksUpToDate>false</LinksUpToDate>
  <CharactersWithSpaces>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Asun Sobré</dc:creator>
  <cp:keywords/>
  <dc:description/>
  <cp:lastModifiedBy>Antonio Vilella Paredes</cp:lastModifiedBy>
  <cp:revision>2</cp:revision>
  <dcterms:created xsi:type="dcterms:W3CDTF">2025-02-21T12:54:00Z</dcterms:created>
  <dcterms:modified xsi:type="dcterms:W3CDTF">2025-02-21T12:54:00Z</dcterms:modified>
</cp:coreProperties>
</file>